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6A44" w14:textId="4D9FEA13" w:rsidR="003B08E5" w:rsidRDefault="003B08E5" w:rsidP="003B08E5">
      <w:r>
        <w:rPr>
          <w:rFonts w:ascii="Lato" w:hAnsi="Lato"/>
          <w:color w:val="333333"/>
          <w:sz w:val="26"/>
          <w:szCs w:val="26"/>
          <w:shd w:val="clear" w:color="auto" w:fill="FFFFFF"/>
        </w:rPr>
        <w:t xml:space="preserve">It is being widely reported that earlier today (April 12), City of Philadelphia Health Commissioner Dr. Cheryl Bettigole announced the city will provide businesses with a one-week educational period before the mandate goes back into effect.  The City has developed its own response program and will move from Level 1 (All Clear) to Level 2 (Mask Precautions) on Monday, April 18th and, within the city, a mask will be required when indoors in public places.  We would expect that masking will be required within the building common areas, elevators and downtown shops/restaurants.  While the City’s announcement does not require masking for our employees within the glass door (non-public) space on the 27th floor, we will continue to monitor developments. </w:t>
      </w:r>
    </w:p>
    <w:p w14:paraId="01F67731" w14:textId="77777777" w:rsidR="003B08E5" w:rsidRDefault="003B08E5" w:rsidP="003B08E5">
      <w:r>
        <w:rPr>
          <w:rFonts w:ascii="Lato" w:hAnsi="Lato"/>
          <w:color w:val="333333"/>
          <w:sz w:val="26"/>
          <w:szCs w:val="26"/>
          <w:shd w:val="clear" w:color="auto" w:fill="FFFFFF"/>
        </w:rPr>
        <w:t> </w:t>
      </w:r>
    </w:p>
    <w:p w14:paraId="67474706" w14:textId="77777777" w:rsidR="003B08E5" w:rsidRDefault="003B08E5" w:rsidP="003B08E5">
      <w:r>
        <w:rPr>
          <w:rFonts w:ascii="Lato" w:hAnsi="Lato"/>
          <w:color w:val="333333"/>
          <w:sz w:val="26"/>
          <w:szCs w:val="26"/>
          <w:shd w:val="clear" w:color="auto" w:fill="FFFFFF"/>
        </w:rPr>
        <w:t>The effectiveness of much of the Genesis Alkali Social Distancing Policy was paused in accordance with CDC-defined risk thresholds based on community infection rates and hospitalizations, which Philadelphia remains below at this time, portions of that policy remain in effect, including:</w:t>
      </w:r>
    </w:p>
    <w:p w14:paraId="347CA22D" w14:textId="77777777" w:rsidR="003B08E5" w:rsidRDefault="003B08E5" w:rsidP="003B08E5">
      <w:pPr>
        <w:autoSpaceDE w:val="0"/>
        <w:autoSpaceDN w:val="0"/>
        <w:rPr>
          <w:color w:val="000000"/>
          <w:sz w:val="24"/>
          <w:szCs w:val="24"/>
        </w:rPr>
      </w:pPr>
      <w:r>
        <w:rPr>
          <w:color w:val="000000"/>
          <w:sz w:val="24"/>
          <w:szCs w:val="24"/>
        </w:rPr>
        <w:t> </w:t>
      </w:r>
    </w:p>
    <w:p w14:paraId="2C665F88" w14:textId="77777777" w:rsidR="003B08E5" w:rsidRDefault="003B08E5" w:rsidP="003B08E5">
      <w:pPr>
        <w:numPr>
          <w:ilvl w:val="0"/>
          <w:numId w:val="1"/>
        </w:numPr>
        <w:autoSpaceDE w:val="0"/>
        <w:autoSpaceDN w:val="0"/>
        <w:spacing w:after="46"/>
        <w:rPr>
          <w:rFonts w:eastAsia="Times New Roman"/>
          <w:color w:val="333333"/>
          <w:sz w:val="24"/>
          <w:szCs w:val="24"/>
        </w:rPr>
      </w:pPr>
      <w:r>
        <w:rPr>
          <w:rFonts w:ascii="Lato" w:eastAsia="Times New Roman" w:hAnsi="Lato"/>
          <w:color w:val="333333"/>
          <w:sz w:val="26"/>
          <w:szCs w:val="26"/>
          <w:shd w:val="clear" w:color="auto" w:fill="FFFFFF"/>
        </w:rPr>
        <w:t>Employees and contractors are required to notify their supervisor if they have tested positive for Covid-19 or have had close contact with someone who has tested positive for Covid-19 and comply with CDC recommendations for Isolation and/or Quarantine.  </w:t>
      </w:r>
    </w:p>
    <w:p w14:paraId="6E6BAD4F" w14:textId="41C33940" w:rsidR="003B08E5" w:rsidRDefault="003B08E5" w:rsidP="003B08E5">
      <w:pPr>
        <w:numPr>
          <w:ilvl w:val="0"/>
          <w:numId w:val="1"/>
        </w:numPr>
        <w:autoSpaceDE w:val="0"/>
        <w:autoSpaceDN w:val="0"/>
        <w:spacing w:after="46"/>
        <w:rPr>
          <w:rFonts w:eastAsia="Times New Roman"/>
          <w:color w:val="333333"/>
          <w:sz w:val="24"/>
          <w:szCs w:val="24"/>
        </w:rPr>
      </w:pPr>
      <w:r>
        <w:rPr>
          <w:rFonts w:ascii="Lato" w:eastAsia="Times New Roman" w:hAnsi="Lato"/>
          <w:color w:val="333333"/>
          <w:sz w:val="26"/>
          <w:szCs w:val="26"/>
          <w:shd w:val="clear" w:color="auto" w:fill="FFFFFF"/>
        </w:rPr>
        <w:t xml:space="preserve">CDC continues to recommend testing if you have symptoms and you may test at home. Home test kits are available through many channels and coverage is provided under our Blue Cross Blue Shield of Texas policy. If you test </w:t>
      </w:r>
      <w:r w:rsidR="00E1352F">
        <w:rPr>
          <w:rFonts w:ascii="Lato" w:eastAsia="Times New Roman" w:hAnsi="Lato"/>
          <w:color w:val="333333"/>
          <w:sz w:val="26"/>
          <w:szCs w:val="26"/>
          <w:shd w:val="clear" w:color="auto" w:fill="FFFFFF"/>
        </w:rPr>
        <w:t>positive or</w:t>
      </w:r>
      <w:r>
        <w:rPr>
          <w:rFonts w:ascii="Lato" w:eastAsia="Times New Roman" w:hAnsi="Lato"/>
          <w:color w:val="333333"/>
          <w:sz w:val="26"/>
          <w:szCs w:val="26"/>
          <w:shd w:val="clear" w:color="auto" w:fill="FFFFFF"/>
        </w:rPr>
        <w:t xml:space="preserve"> have had close contact with someone who has tested positive, notify your supervisor, and follow CDC recommendations. </w:t>
      </w:r>
    </w:p>
    <w:p w14:paraId="33E4A5CA" w14:textId="77777777" w:rsidR="003B08E5" w:rsidRDefault="003B08E5" w:rsidP="003B08E5">
      <w:pPr>
        <w:numPr>
          <w:ilvl w:val="0"/>
          <w:numId w:val="1"/>
        </w:numPr>
        <w:autoSpaceDE w:val="0"/>
        <w:autoSpaceDN w:val="0"/>
        <w:rPr>
          <w:rFonts w:eastAsia="Times New Roman"/>
          <w:color w:val="333333"/>
          <w:sz w:val="24"/>
          <w:szCs w:val="24"/>
        </w:rPr>
      </w:pPr>
      <w:r>
        <w:rPr>
          <w:rFonts w:ascii="Lato" w:eastAsia="Times New Roman" w:hAnsi="Lato"/>
          <w:color w:val="333333"/>
          <w:sz w:val="26"/>
          <w:szCs w:val="26"/>
          <w:shd w:val="clear" w:color="auto" w:fill="FFFFFF"/>
        </w:rPr>
        <w:t xml:space="preserve">Employees who travel outside of the US are still required to notify their supervisor in advance and follow the then current CDC guidance for return to the US. </w:t>
      </w:r>
    </w:p>
    <w:p w14:paraId="65B8F40C" w14:textId="77777777" w:rsidR="003B08E5" w:rsidRDefault="003B08E5" w:rsidP="003B08E5">
      <w:pPr>
        <w:autoSpaceDE w:val="0"/>
        <w:autoSpaceDN w:val="0"/>
        <w:rPr>
          <w:color w:val="000000"/>
          <w:sz w:val="24"/>
          <w:szCs w:val="24"/>
        </w:rPr>
      </w:pPr>
      <w:r>
        <w:rPr>
          <w:rFonts w:ascii="Lato" w:hAnsi="Lato"/>
          <w:color w:val="333333"/>
          <w:sz w:val="26"/>
          <w:szCs w:val="26"/>
          <w:shd w:val="clear" w:color="auto" w:fill="FFFFFF"/>
        </w:rPr>
        <w:t> </w:t>
      </w:r>
    </w:p>
    <w:p w14:paraId="03775D02" w14:textId="77777777" w:rsidR="003B08E5" w:rsidRDefault="003B08E5" w:rsidP="003B08E5">
      <w:pPr>
        <w:autoSpaceDE w:val="0"/>
        <w:autoSpaceDN w:val="0"/>
        <w:rPr>
          <w:color w:val="000000"/>
          <w:sz w:val="24"/>
          <w:szCs w:val="24"/>
        </w:rPr>
      </w:pPr>
      <w:r>
        <w:rPr>
          <w:rFonts w:ascii="Lato" w:hAnsi="Lato"/>
          <w:color w:val="333333"/>
          <w:sz w:val="26"/>
          <w:szCs w:val="26"/>
          <w:shd w:val="clear" w:color="auto" w:fill="FFFFFF"/>
        </w:rPr>
        <w:t>We continue to implement policy based on CDC recommendations and will advise should circumstances in the areas where we operate dictate additional precautions.</w:t>
      </w:r>
    </w:p>
    <w:p w14:paraId="1537D7BE" w14:textId="77777777" w:rsidR="003B08E5" w:rsidRDefault="003B08E5" w:rsidP="003B08E5">
      <w:pPr>
        <w:autoSpaceDE w:val="0"/>
        <w:autoSpaceDN w:val="0"/>
        <w:rPr>
          <w:color w:val="000000"/>
          <w:sz w:val="24"/>
          <w:szCs w:val="24"/>
        </w:rPr>
      </w:pPr>
      <w:r>
        <w:rPr>
          <w:rFonts w:ascii="Lato" w:hAnsi="Lato"/>
          <w:color w:val="333333"/>
          <w:sz w:val="26"/>
          <w:szCs w:val="26"/>
          <w:shd w:val="clear" w:color="auto" w:fill="FFFFFF"/>
        </w:rPr>
        <w:t> </w:t>
      </w:r>
    </w:p>
    <w:p w14:paraId="1A5C487A" w14:textId="77777777" w:rsidR="003B08E5" w:rsidRDefault="003B08E5" w:rsidP="003B08E5">
      <w:r>
        <w:rPr>
          <w:rFonts w:ascii="Lato" w:hAnsi="Lato"/>
          <w:color w:val="333333"/>
          <w:sz w:val="26"/>
          <w:szCs w:val="26"/>
          <w:shd w:val="clear" w:color="auto" w:fill="FFFFFF"/>
        </w:rPr>
        <w:t>Masking requirements for public transportation, health care settings, and institutions of higher learning remain unchanged by the City’s announcement today.</w:t>
      </w:r>
    </w:p>
    <w:p w14:paraId="6155297D" w14:textId="77777777" w:rsidR="003B08E5" w:rsidRDefault="003B08E5" w:rsidP="003B08E5">
      <w:r>
        <w:rPr>
          <w:rFonts w:ascii="Arial" w:hAnsi="Arial" w:cs="Arial"/>
        </w:rPr>
        <w:t> </w:t>
      </w:r>
    </w:p>
    <w:p w14:paraId="1B2590F4" w14:textId="3D1839F7" w:rsidR="003B08E5" w:rsidRDefault="003B08E5" w:rsidP="003B08E5">
      <w:r>
        <w:rPr>
          <w:rFonts w:ascii="Arial" w:hAnsi="Arial" w:cs="Arial"/>
        </w:rPr>
        <w:t> </w:t>
      </w:r>
      <w:r>
        <w:rPr>
          <w:rFonts w:ascii="Arial" w:hAnsi="Arial" w:cs="Arial"/>
          <w:noProof/>
        </w:rPr>
        <w:drawing>
          <wp:inline distT="0" distB="0" distL="0" distR="0" wp14:anchorId="65748DB2" wp14:editId="436CE51E">
            <wp:extent cx="5362575" cy="929284"/>
            <wp:effectExtent l="0" t="0" r="0" b="44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72480" cy="931001"/>
                    </a:xfrm>
                    <a:prstGeom prst="rect">
                      <a:avLst/>
                    </a:prstGeom>
                    <a:noFill/>
                    <a:ln>
                      <a:noFill/>
                    </a:ln>
                  </pic:spPr>
                </pic:pic>
              </a:graphicData>
            </a:graphic>
          </wp:inline>
        </w:drawing>
      </w:r>
    </w:p>
    <w:p w14:paraId="0B36B3BD" w14:textId="651D1146" w:rsidR="003B08E5" w:rsidRDefault="003B08E5" w:rsidP="003B08E5">
      <w:pPr>
        <w:ind w:left="720" w:firstLine="720"/>
      </w:pPr>
    </w:p>
    <w:p w14:paraId="4C9A1DFF" w14:textId="77777777" w:rsidR="003B08E5" w:rsidRDefault="003B08E5" w:rsidP="003B08E5">
      <w:pPr>
        <w:rPr>
          <w:sz w:val="28"/>
          <w:szCs w:val="28"/>
        </w:rPr>
      </w:pPr>
    </w:p>
    <w:p w14:paraId="2A2FCA7E" w14:textId="77777777" w:rsidR="0002376E" w:rsidRPr="003B08E5" w:rsidRDefault="0002376E" w:rsidP="003B08E5"/>
    <w:sectPr w:rsidR="0002376E" w:rsidRPr="003B08E5" w:rsidSect="003B0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B5416"/>
    <w:multiLevelType w:val="hybridMultilevel"/>
    <w:tmpl w:val="1DDCF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2033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E5"/>
    <w:rsid w:val="0002376E"/>
    <w:rsid w:val="003B08E5"/>
    <w:rsid w:val="0093665D"/>
    <w:rsid w:val="00CB7947"/>
    <w:rsid w:val="00E1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BA39"/>
  <w15:chartTrackingRefBased/>
  <w15:docId w15:val="{14103DBA-3E65-425D-AA79-59E54AD4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4DB1.EA1786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Erin</dc:creator>
  <cp:keywords/>
  <dc:description/>
  <cp:lastModifiedBy>Cartwright, Erin</cp:lastModifiedBy>
  <cp:revision>2</cp:revision>
  <dcterms:created xsi:type="dcterms:W3CDTF">2022-04-13T20:53:00Z</dcterms:created>
  <dcterms:modified xsi:type="dcterms:W3CDTF">2022-04-13T20:53:00Z</dcterms:modified>
</cp:coreProperties>
</file>